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0"/>
        <w:tblW w:w="11310" w:type="dxa"/>
        <w:tblBorders>
          <w:top w:val="single" w:sz="6" w:space="0" w:color="ECF0F1"/>
          <w:left w:val="single" w:sz="6" w:space="0" w:color="ECF0F1"/>
          <w:bottom w:val="single" w:sz="6" w:space="0" w:color="ECF0F1"/>
          <w:right w:val="single" w:sz="6" w:space="0" w:color="ECF0F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新竹市班級總量限制學校作業執行相關問答"/>
      </w:tblPr>
      <w:tblGrid>
        <w:gridCol w:w="901"/>
        <w:gridCol w:w="2730"/>
        <w:gridCol w:w="7679"/>
      </w:tblGrid>
      <w:tr w:rsidR="009F2683" w:rsidRPr="009F2683" w14:paraId="46DC6773" w14:textId="77777777" w:rsidTr="009F268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2D82AF" w14:textId="77777777" w:rsidR="009F2683" w:rsidRPr="009F2683" w:rsidRDefault="009F2683" w:rsidP="009F2683">
            <w:pPr>
              <w:widowControl/>
              <w:shd w:val="clear" w:color="auto" w:fill="FFFFFF"/>
              <w:rPr>
                <w:rFonts w:ascii="Lato" w:eastAsia="新細明體" w:hAnsi="Lato" w:cs="新細明體"/>
                <w:color w:val="2C3E50"/>
                <w:kern w:val="0"/>
                <w:sz w:val="29"/>
                <w:szCs w:val="29"/>
              </w:rPr>
            </w:pPr>
            <w:r w:rsidRPr="009F2683">
              <w:rPr>
                <w:rFonts w:ascii="Lato" w:eastAsia="新細明體" w:hAnsi="Lato" w:cs="新細明體"/>
                <w:b/>
                <w:bCs/>
                <w:color w:val="2C3E50"/>
                <w:kern w:val="0"/>
                <w:sz w:val="29"/>
                <w:szCs w:val="29"/>
              </w:rPr>
              <w:t>一、學區劃分：</w:t>
            </w:r>
          </w:p>
          <w:p w14:paraId="1DFB5DE6" w14:textId="77777777" w:rsidR="009F2683" w:rsidRPr="009F2683" w:rsidRDefault="009F2683" w:rsidP="009F268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（一）新竹市市立國中小學區劃分原則是？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以步行距離為原則，「單一學區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 xml:space="preserve"> 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就近入學」、「共同學區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 xml:space="preserve"> 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提供選擇」、「落日條款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 xml:space="preserve"> 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緩衝入學」。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（二）單一學區及共同學區如何劃分？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以步行距離為原則。「單一學區」：以該里鄰與學校步行距離比較近者，劃分為單一學區。「共同學區」：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里鄰若與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2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校（或多校）步行距離相同，且該校學齡人口數及學校空間量能尚能容納，經本市學區劃分及調整審議委員會決議同意劃分為共同學區者。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（三）如何查詢新竹市國中小學校的學區？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新竹市國中小學校學區劃分表已公告於本市教育網，家長可至新竹市教育網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-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左側查詢下載區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-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點選學區與班級數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(</w:t>
            </w:r>
            <w:hyperlink r:id="rId4" w:tooltip="新竹市教育網學區與班級數" w:history="1">
              <w:r w:rsidRPr="009F2683">
                <w:rPr>
                  <w:rFonts w:ascii="Lato" w:eastAsia="新細明體" w:hAnsi="Lato" w:cs="新細明體"/>
                  <w:color w:val="1985A1"/>
                  <w:kern w:val="0"/>
                  <w:sz w:val="23"/>
                  <w:szCs w:val="23"/>
                  <w:u w:val="single"/>
                  <w:shd w:val="clear" w:color="auto" w:fill="FFFFFF"/>
                </w:rPr>
                <w:t>https://www.hc.edu.tw/edub/basic/schoolArea.aspx</w:t>
              </w:r>
            </w:hyperlink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)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，即可進行查詢學區或問題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QA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（四）學區劃分公告後，是否就不能變動？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學區劃分調整，訂有實施期程及落日條款：「依學區劃分原則，分階段實施」。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113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學年度實施第一階段調整，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114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學年度進行第二階段調整，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115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學年度執行。（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113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年公告，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115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學年度執行）。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 xml:space="preserve"> 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後續持續觀測學齡人口趨勢、學校空間量能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(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含可招收班級數、教室總數、空餘教室總數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)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評估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研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議學區。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（五）針對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113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年公告的「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114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學年本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市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市立中小學學區劃分表」及「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114-115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學年度學區劃分調整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彙整表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」，可以到哪裡看到公告？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本府公告於新竹市教育網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（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網址：</w:t>
            </w:r>
            <w:hyperlink r:id="rId5" w:tooltip="新竹市教育網" w:history="1">
              <w:r w:rsidRPr="009F2683">
                <w:rPr>
                  <w:rFonts w:ascii="Lato" w:eastAsia="新細明體" w:hAnsi="Lato" w:cs="新細明體"/>
                  <w:color w:val="1985A1"/>
                  <w:kern w:val="0"/>
                  <w:sz w:val="23"/>
                  <w:szCs w:val="23"/>
                  <w:u w:val="single"/>
                  <w:shd w:val="clear" w:color="auto" w:fill="FFFFFF"/>
                </w:rPr>
                <w:t>https://www.hc.edu.tw/</w:t>
              </w:r>
            </w:hyperlink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）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，查詢步驟同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 xml:space="preserve"> 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  <w:shd w:val="clear" w:color="auto" w:fill="FFFFFF"/>
              </w:rPr>
              <w:t>學區查詢。另已函文各校及各區公所。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</w:r>
          </w:p>
          <w:p w14:paraId="4F4E10BA" w14:textId="77777777" w:rsidR="009F2683" w:rsidRPr="009F2683" w:rsidRDefault="009F2683" w:rsidP="009F2683">
            <w:pPr>
              <w:widowControl/>
              <w:shd w:val="clear" w:color="auto" w:fill="FFFFFF"/>
              <w:rPr>
                <w:rFonts w:ascii="Lato" w:eastAsia="新細明體" w:hAnsi="Lato" w:cs="新細明體"/>
                <w:color w:val="2C3E50"/>
                <w:kern w:val="0"/>
                <w:sz w:val="29"/>
                <w:szCs w:val="29"/>
              </w:rPr>
            </w:pPr>
            <w:r w:rsidRPr="009F2683">
              <w:rPr>
                <w:rFonts w:ascii="Lato" w:eastAsia="新細明體" w:hAnsi="Lato" w:cs="新細明體"/>
                <w:b/>
                <w:bCs/>
                <w:color w:val="2C3E50"/>
                <w:kern w:val="0"/>
                <w:sz w:val="29"/>
                <w:szCs w:val="29"/>
              </w:rPr>
              <w:t>二、總量限制：</w:t>
            </w:r>
          </w:p>
          <w:p w14:paraId="00E4970D" w14:textId="77777777" w:rsidR="009F2683" w:rsidRPr="009F2683" w:rsidRDefault="009F2683" w:rsidP="009F2683"/>
          <w:p w14:paraId="4C507D1C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b/>
                <w:bCs/>
                <w:color w:val="46494C"/>
                <w:kern w:val="0"/>
                <w:sz w:val="29"/>
                <w:szCs w:val="29"/>
              </w:rPr>
            </w:pPr>
            <w:r w:rsidRPr="009F2683">
              <w:rPr>
                <w:rFonts w:ascii="Lato" w:eastAsia="新細明體" w:hAnsi="Lato" w:cs="新細明體"/>
                <w:b/>
                <w:bCs/>
                <w:color w:val="46494C"/>
                <w:kern w:val="0"/>
                <w:sz w:val="29"/>
                <w:szCs w:val="29"/>
              </w:rPr>
              <w:t>新竹市班級總量限制學校作業執行相關問答</w:t>
            </w:r>
            <w:r w:rsidRPr="009F2683">
              <w:rPr>
                <w:rFonts w:ascii="Lato" w:eastAsia="新細明體" w:hAnsi="Lato" w:cs="新細明體"/>
                <w:b/>
                <w:bCs/>
                <w:color w:val="46494C"/>
                <w:kern w:val="0"/>
                <w:sz w:val="29"/>
                <w:szCs w:val="29"/>
              </w:rPr>
              <w:t xml:space="preserve"> 115.2.3</w:t>
            </w:r>
          </w:p>
        </w:tc>
      </w:tr>
      <w:tr w:rsidR="009F2683" w:rsidRPr="009F2683" w14:paraId="678BC55B" w14:textId="77777777" w:rsidTr="009F268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97D2C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b/>
                <w:bCs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Cambria" w:eastAsia="新細明體" w:hAnsi="Cambria" w:cs="Cambria"/>
                <w:b/>
                <w:bCs/>
                <w:color w:val="2C3E50"/>
                <w:kern w:val="0"/>
                <w:sz w:val="23"/>
                <w:szCs w:val="23"/>
              </w:rP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C3C506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b/>
                <w:bCs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b/>
                <w:bCs/>
                <w:color w:val="2C3E50"/>
                <w:kern w:val="0"/>
                <w:sz w:val="23"/>
                <w:szCs w:val="23"/>
              </w:rPr>
              <w:t>建議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6A27F6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b/>
                <w:bCs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b/>
                <w:bCs/>
                <w:color w:val="2C3E50"/>
                <w:kern w:val="0"/>
                <w:sz w:val="23"/>
                <w:szCs w:val="23"/>
              </w:rPr>
              <w:t>處理方式</w:t>
            </w:r>
          </w:p>
        </w:tc>
      </w:tr>
      <w:tr w:rsidR="009F2683" w:rsidRPr="009F2683" w14:paraId="52C769E7" w14:textId="77777777" w:rsidTr="009F268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F2EB7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文件證明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500995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1.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是否可收電子戶籍謄本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8C7093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因電子戶籍謄本需有戶政事務所之特殊儀器方得以辨識真偽，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爰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無法取代紙本。</w:t>
            </w:r>
          </w:p>
        </w:tc>
      </w:tr>
      <w:tr w:rsidR="009F2683" w:rsidRPr="009F2683" w14:paraId="7F982797" w14:textId="77777777" w:rsidTr="009F26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14:paraId="4736AD17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B33F5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2.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總量限制學校居住事實證明文件包括那些？如未檢附之處理方式為何？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25075C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1.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證明文件如下：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  <w:t>(1)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屬自有房屋者：設籍之房屋所有權狀或當年度房屋稅籍證明。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  <w:t>(2)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屬房屋租賃者：登記日前經公證之房屋租賃契約證明（租賃契約須涵蓋至當年度開學日）。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  <w:t>(3)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公家宿舍配住證明。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  <w:t>(4)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其他經學校家訪新生，查證確有居住事實之證明文件。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  <w:t>2.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未檢附前項居住事實證明文件者，經總量限制學校通知且未於期限內補正者，錄取排序順位列於補正期限內出具證明者之後。</w:t>
            </w:r>
          </w:p>
        </w:tc>
      </w:tr>
      <w:tr w:rsidR="009F2683" w:rsidRPr="009F2683" w14:paraId="586A9272" w14:textId="77777777" w:rsidTr="009F26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0B33BD86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A8649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3.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無償借用證明書是否可視為居住證明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FE78BB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無償借用證明無法視為居住證明。若有特殊案例者，授權各校學生入學委員會決議。</w:t>
            </w:r>
          </w:p>
        </w:tc>
      </w:tr>
      <w:tr w:rsidR="009F2683" w:rsidRPr="009F2683" w14:paraId="48DC40B5" w14:textId="77777777" w:rsidTr="009F26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14:paraId="0B810A91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F0669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4.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租賃契約涵蓋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期程至登記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日當天或開學日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25CAA7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涵蓋至開學日。</w:t>
            </w:r>
          </w:p>
        </w:tc>
      </w:tr>
      <w:tr w:rsidR="009F2683" w:rsidRPr="009F2683" w14:paraId="5D14B7F9" w14:textId="77777777" w:rsidTr="009F26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44AB4A01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42D191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5.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第一順位之低收入學生，是否須提供居住事實證明。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6E9345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設籍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本市且居住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於學區內經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本府列冊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之低收入戶子女為第一順位錄取學生，其居住事實之查證文件，可出具戶口名簿、房屋權狀、法院公證之租賃契約等，若有特殊情況，授權各校學生入學委員會視個案情況彈性處理，儘量避免增加家長負擔。</w:t>
            </w:r>
          </w:p>
        </w:tc>
      </w:tr>
      <w:tr w:rsidR="009F2683" w:rsidRPr="009F2683" w14:paraId="307CCCFB" w14:textId="77777777" w:rsidTr="009F2683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E2B9AC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入學設籍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A031A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6.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若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家中兄姐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就讀總量限制學校，弟妹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可否隨兄姐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就讀？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5F3F5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總量限制學校入學條件不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包含隨兄姐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就讀，弟妹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若隨兄姐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就讀，仍需符合入學資格包含設籍時間及實際居住等條件，無優先規定。</w:t>
            </w:r>
          </w:p>
        </w:tc>
      </w:tr>
      <w:tr w:rsidR="009F2683" w:rsidRPr="009F2683" w14:paraId="56FE7189" w14:textId="77777777" w:rsidTr="009F26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3ED07DE5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A8352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7.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共同學區時，要讀哪一所學校是由誰決定？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CC56A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兩校以上之共同學區，在學區內之學生得依其意願選擇就讀學校。</w:t>
            </w:r>
          </w:p>
        </w:tc>
      </w:tr>
      <w:tr w:rsidR="009F2683" w:rsidRPr="009F2683" w14:paraId="2EC4FABB" w14:textId="77777777" w:rsidTr="009F26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14:paraId="7A5682B0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085AF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8.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總量限制學校單一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/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共同學區轉分發原則為何？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756C35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115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學年度起，總量限制學校單一／共同學區轉分發學生將依就學距離遠近，安排至距離第二近之學校就讀；倘第二近學校亦為總量限制學校，則依其意願分發至簡章公告之轉分發學校就讀；另得依簡章規定，登記第二近學校候補名單，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俟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該校有缺額時依序遞補。有關總量限制學校第二近學校之候補登記，係依各校招生容量及轉分發規劃辦理，請以各校招生簡章公告內容為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準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。</w:t>
            </w:r>
          </w:p>
        </w:tc>
      </w:tr>
      <w:tr w:rsidR="009F2683" w:rsidRPr="009F2683" w14:paraId="7E5EF167" w14:textId="77777777" w:rsidTr="009F26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5D3AABA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4996C2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9.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如果共同學區都屬總量限制學校，如何登記？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296D9E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可以同時辧理登記，但只能選擇一所學校辧理報到。</w:t>
            </w:r>
          </w:p>
        </w:tc>
      </w:tr>
      <w:tr w:rsidR="009F2683" w:rsidRPr="009F2683" w14:paraId="2FAEC7C5" w14:textId="77777777" w:rsidTr="009F26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14:paraId="1B6006AA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C602E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10.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已過了報到日期而尚未到校報到時怎麼辦？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3295F0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國民義務教育階段，無論何時均可辦理入學作業。此時請攜帶戶口名簿至學區學校辦理報到即可（惟該校如為總量限制學校，則由該總量限制學校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逕予轉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分發鄰近非總量限制學校）。</w:t>
            </w:r>
          </w:p>
        </w:tc>
      </w:tr>
      <w:tr w:rsidR="009F2683" w:rsidRPr="009F2683" w14:paraId="785DA64E" w14:textId="77777777" w:rsidTr="009F26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5F329128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F7836C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11.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如已收到入學通知單後搬家，該怎麼處理？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79A28B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依報到日期攜帶新式戶口名簿至學區學校辦理登記或報到（總量限制學校如已過登記日期，則視同放棄，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逕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依該校轉分發原則予以轉分發），請家長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撥電至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原入學通知單上之應就讀學校註冊組，告知學生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○○○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將至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○○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學校就讀，以免該校將學生列入新生未報到名單並進行追蹤。</w:t>
            </w:r>
          </w:p>
        </w:tc>
      </w:tr>
      <w:tr w:rsidR="009F2683" w:rsidRPr="009F2683" w14:paraId="192E749A" w14:textId="77777777" w:rsidTr="009F26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vAlign w:val="center"/>
            <w:hideMark/>
          </w:tcPr>
          <w:p w14:paraId="3BC1E942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1E6A9C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12.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總量學校需設籍多久才可進入該校？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ECB026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總量限制學校可入學之設籍時間，依當地適齡入學人口數、居住時間長短及學校空間量體條件每年有所不同。</w:t>
            </w:r>
          </w:p>
        </w:tc>
      </w:tr>
      <w:tr w:rsidR="009F2683" w:rsidRPr="009F2683" w14:paraId="33178EB8" w14:textId="77777777" w:rsidTr="009F2683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14:paraId="263C06C6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DC90B3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13.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若因調整學區，欲就讀總量限制學校，戶籍遷移後可否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採計原里鄰設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籍年資？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A81AC4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學區調整後辦理戶籍遷移者，其設籍時間重新核算。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例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: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甲里原為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A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校與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B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校之共同學區，惟自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115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學年度起調整為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B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校單一學區。王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○○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先生於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115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學年度前將戶籍由甲里遷移至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A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校學區範圍內，其子女入學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A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校之設籍時間，應依遷移至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A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校學區內之時間重新計算。</w:t>
            </w:r>
          </w:p>
        </w:tc>
      </w:tr>
      <w:tr w:rsidR="009F2683" w:rsidRPr="009F2683" w14:paraId="01DA5E5A" w14:textId="77777777" w:rsidTr="009F268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CB078E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居住事實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ED9CD6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14.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居住事實查核如何落實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A6BE2B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1.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入學資格審查時需填寫家訪同意書。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  <w:t>2.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針對設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籍戶址異常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情形者（同一住址設籍兩名以上同年度入學之新生，且非屬同年度入學之雙多胞胎者）進行初步</w:t>
            </w:r>
            <w:proofErr w:type="gramStart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篩濾。</w:t>
            </w:r>
            <w:proofErr w:type="gramEnd"/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  <w:t>3.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由學校組成查訪小組與里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(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村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)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長、鄰長、戶政單位建立查核網絡。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br/>
              <w:t>4.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經訪查確認無居住事實者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: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因不符合規定，入學排序在符合入學資格者之後。</w:t>
            </w:r>
          </w:p>
        </w:tc>
      </w:tr>
      <w:tr w:rsidR="009F2683" w:rsidRPr="009F2683" w14:paraId="6EE6C600" w14:textId="77777777" w:rsidTr="009F268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62575F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通學專車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BEA597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15.</w:t>
            </w: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因應總量限制學校及學區劃分，轉分發之學生的通學專車服務如何規劃？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366AD" w14:textId="77777777" w:rsidR="009F2683" w:rsidRPr="009F2683" w:rsidRDefault="009F2683" w:rsidP="009F2683">
            <w:pPr>
              <w:widowControl/>
              <w:spacing w:after="315"/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</w:pPr>
            <w:r w:rsidRPr="009F2683">
              <w:rPr>
                <w:rFonts w:ascii="Lato" w:eastAsia="新細明體" w:hAnsi="Lato" w:cs="新細明體"/>
                <w:color w:val="2C3E50"/>
                <w:kern w:val="0"/>
                <w:sz w:val="23"/>
                <w:szCs w:val="23"/>
              </w:rPr>
              <w:t>現提供被轉分發學生至新科國中、建華國中通學專車路線，未來依學生通勤需求、道路交通狀況及安全性等進行評估並根據實際需求變化適時調整，以提升通學便利性並保障學生安全。</w:t>
            </w:r>
          </w:p>
        </w:tc>
      </w:tr>
    </w:tbl>
    <w:p w14:paraId="2F88835D" w14:textId="77777777" w:rsidR="00E86512" w:rsidRPr="009F2683" w:rsidRDefault="00E86512" w:rsidP="009F2683">
      <w:pPr>
        <w:widowControl/>
        <w:shd w:val="clear" w:color="auto" w:fill="FFFFFF"/>
      </w:pPr>
    </w:p>
    <w:sectPr w:rsidR="00E86512" w:rsidRPr="009F2683" w:rsidSect="009F26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83"/>
    <w:rsid w:val="009F2683"/>
    <w:rsid w:val="00E8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A377"/>
  <w15:chartTrackingRefBased/>
  <w15:docId w15:val="{D75FFC03-3B12-47F1-9CE2-FFB4063F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4034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284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283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482">
          <w:marLeft w:val="0"/>
          <w:marRight w:val="0"/>
          <w:marTop w:val="158"/>
          <w:marBottom w:val="1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c.edu.tw/" TargetMode="External"/><Relationship Id="rId4" Type="http://schemas.openxmlformats.org/officeDocument/2006/relationships/hyperlink" Target="https://www.hc.edu.tw/edub/basic/schoolArea.asp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2026-03-06T10:34:00Z</dcterms:created>
  <dcterms:modified xsi:type="dcterms:W3CDTF">2026-03-06T10:37:00Z</dcterms:modified>
</cp:coreProperties>
</file>